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2FF5F" w14:textId="317F513A" w:rsidR="005A0062" w:rsidRDefault="00700827" w:rsidP="00482210">
      <w:pPr>
        <w:pStyle w:val="Corpodetexto"/>
        <w:ind w:left="-426"/>
        <w:jc w:val="both"/>
        <w:rPr>
          <w:rFonts w:ascii="Times New Roman"/>
          <w:b w:val="0"/>
        </w:rPr>
      </w:pPr>
      <w:r>
        <w:rPr>
          <w:rFonts w:ascii="Times New Roman"/>
          <w:b w:val="0"/>
        </w:rPr>
      </w:r>
      <w:r>
        <w:rPr>
          <w:rFonts w:ascii="Times New Roman"/>
          <w:b w:val="0"/>
        </w:rPr>
        <w:pict w14:anchorId="6B28DE23">
          <v:group id="_x0000_s1029" style="width:513.6pt;height:122.25pt;mso-position-horizontal-relative:char;mso-position-vertical-relative:line" coordsize="9900,2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4298;top:40;width:1044;height:1365">
              <v:imagedata r:id="rId5" o:title=""/>
            </v:shape>
            <v:shapetype id="_x0000_t202" coordsize="21600,21600" o:spt="202" path="m,l,21600r21600,l21600,xe">
              <v:stroke joinstyle="miter"/>
              <v:path gradientshapeok="t" o:connecttype="rect"/>
            </v:shapetype>
            <v:shape id="_x0000_s1030" type="#_x0000_t202" style="position:absolute;left:4;top:4;width:9890;height:2276" filled="f" strokeweight=".48pt">
              <v:textbox style="mso-next-textbox:#_x0000_s1030" inset="0,0,0,0">
                <w:txbxContent>
                  <w:p w14:paraId="5C2F1CA1" w14:textId="77777777" w:rsidR="005A0062" w:rsidRDefault="005A0062">
                    <w:pPr>
                      <w:rPr>
                        <w:rFonts w:ascii="Times New Roman"/>
                        <w:sz w:val="26"/>
                      </w:rPr>
                    </w:pPr>
                  </w:p>
                  <w:p w14:paraId="166A2DF9" w14:textId="77777777" w:rsidR="005A0062" w:rsidRDefault="005A0062">
                    <w:pPr>
                      <w:rPr>
                        <w:rFonts w:ascii="Times New Roman"/>
                        <w:sz w:val="26"/>
                      </w:rPr>
                    </w:pPr>
                  </w:p>
                  <w:p w14:paraId="02726900" w14:textId="77777777" w:rsidR="005A0062" w:rsidRDefault="005A0062">
                    <w:pPr>
                      <w:rPr>
                        <w:rFonts w:ascii="Times New Roman"/>
                        <w:sz w:val="26"/>
                      </w:rPr>
                    </w:pPr>
                  </w:p>
                  <w:p w14:paraId="7A32D9AC" w14:textId="77777777" w:rsidR="005A0062" w:rsidRDefault="005A0062">
                    <w:pPr>
                      <w:rPr>
                        <w:rFonts w:ascii="Times New Roman"/>
                        <w:sz w:val="26"/>
                      </w:rPr>
                    </w:pPr>
                  </w:p>
                  <w:p w14:paraId="1AFF4BFE" w14:textId="2B0271E1" w:rsidR="005A0062" w:rsidRPr="0021364E" w:rsidRDefault="005A0062">
                    <w:pPr>
                      <w:spacing w:before="3"/>
                      <w:ind w:left="1692" w:right="1690"/>
                      <w:jc w:val="center"/>
                      <w:rPr>
                        <w:b/>
                        <w:sz w:val="20"/>
                        <w:szCs w:val="20"/>
                      </w:rPr>
                    </w:pPr>
                  </w:p>
                  <w:p w14:paraId="17D780AF" w14:textId="77777777" w:rsidR="0021364E" w:rsidRDefault="0021364E"/>
                </w:txbxContent>
              </v:textbox>
            </v:shape>
            <w10:anchorlock/>
          </v:group>
        </w:pict>
      </w:r>
    </w:p>
    <w:p w14:paraId="74DBE34F" w14:textId="77777777" w:rsidR="004F411E" w:rsidRDefault="00700827" w:rsidP="004F411E">
      <w:pPr>
        <w:pStyle w:val="Corpodetexto"/>
        <w:rPr>
          <w:rFonts w:ascii="Times New Roman"/>
          <w:b w:val="0"/>
          <w:sz w:val="17"/>
        </w:rPr>
      </w:pPr>
      <w:r>
        <w:pict w14:anchorId="19DEE1EC">
          <v:shape id="_x0000_s1028" type="#_x0000_t202" style="position:absolute;margin-left:52.25pt;margin-top:12pt;width:513.6pt;height:57.15pt;z-index:-15728128;mso-wrap-distance-left:0;mso-wrap-distance-right:0;mso-position-horizontal-relative:page" filled="f" strokeweight=".48pt">
            <v:textbox style="mso-next-textbox:#_x0000_s1028" inset="0,0,0,0">
              <w:txbxContent>
                <w:p w14:paraId="0E78DCA6" w14:textId="77777777" w:rsidR="0021364E" w:rsidRDefault="0021364E" w:rsidP="0021364E">
                  <w:pPr>
                    <w:pStyle w:val="Corpodetexto"/>
                    <w:jc w:val="center"/>
                  </w:pPr>
                  <w:r w:rsidRPr="0021364E">
                    <w:t>Governo do Estado do Rio de Janeiro</w:t>
                  </w:r>
                </w:p>
                <w:p w14:paraId="5C0554C7" w14:textId="5D81662C" w:rsidR="0021364E" w:rsidRPr="0021364E" w:rsidRDefault="0021364E" w:rsidP="0021364E">
                  <w:pPr>
                    <w:pStyle w:val="Corpodetexto"/>
                    <w:jc w:val="center"/>
                    <w:rPr>
                      <w:spacing w:val="1"/>
                    </w:rPr>
                  </w:pPr>
                  <w:r w:rsidRPr="0021364E">
                    <w:t>Secretaria</w:t>
                  </w:r>
                  <w:r w:rsidRPr="0021364E">
                    <w:rPr>
                      <w:spacing w:val="-2"/>
                    </w:rPr>
                    <w:t xml:space="preserve"> </w:t>
                  </w:r>
                  <w:r w:rsidRPr="0021364E">
                    <w:t>de</w:t>
                  </w:r>
                  <w:r w:rsidRPr="0021364E">
                    <w:rPr>
                      <w:spacing w:val="-6"/>
                    </w:rPr>
                    <w:t xml:space="preserve"> </w:t>
                  </w:r>
                  <w:r w:rsidRPr="0021364E">
                    <w:t>Estado</w:t>
                  </w:r>
                  <w:r w:rsidRPr="0021364E">
                    <w:rPr>
                      <w:spacing w:val="-10"/>
                    </w:rPr>
                    <w:t xml:space="preserve"> </w:t>
                  </w:r>
                  <w:r w:rsidRPr="0021364E">
                    <w:t>de</w:t>
                  </w:r>
                  <w:r w:rsidRPr="0021364E">
                    <w:rPr>
                      <w:spacing w:val="-3"/>
                    </w:rPr>
                    <w:t xml:space="preserve"> </w:t>
                  </w:r>
                  <w:r w:rsidRPr="0021364E">
                    <w:t>Infraestrutura</w:t>
                  </w:r>
                  <w:r w:rsidRPr="0021364E">
                    <w:rPr>
                      <w:spacing w:val="-3"/>
                    </w:rPr>
                    <w:t xml:space="preserve"> </w:t>
                  </w:r>
                  <w:r w:rsidRPr="0021364E">
                    <w:t>e</w:t>
                  </w:r>
                  <w:r w:rsidR="007C5379">
                    <w:t xml:space="preserve"> Obras Públicas</w:t>
                  </w:r>
                </w:p>
                <w:p w14:paraId="539234DA" w14:textId="77777777" w:rsidR="0021364E" w:rsidRPr="0021364E" w:rsidRDefault="0021364E" w:rsidP="0021364E">
                  <w:pPr>
                    <w:spacing w:before="3"/>
                    <w:ind w:left="1692" w:right="1690"/>
                    <w:jc w:val="center"/>
                    <w:rPr>
                      <w:b/>
                      <w:sz w:val="20"/>
                      <w:szCs w:val="20"/>
                    </w:rPr>
                  </w:pPr>
                  <w:r w:rsidRPr="0021364E">
                    <w:rPr>
                      <w:b/>
                      <w:sz w:val="20"/>
                      <w:szCs w:val="20"/>
                    </w:rPr>
                    <w:t>Empresa</w:t>
                  </w:r>
                  <w:r w:rsidRPr="0021364E">
                    <w:rPr>
                      <w:b/>
                      <w:spacing w:val="-2"/>
                      <w:sz w:val="20"/>
                      <w:szCs w:val="20"/>
                    </w:rPr>
                    <w:t xml:space="preserve"> </w:t>
                  </w:r>
                  <w:r w:rsidRPr="0021364E">
                    <w:rPr>
                      <w:b/>
                      <w:sz w:val="20"/>
                      <w:szCs w:val="20"/>
                    </w:rPr>
                    <w:t>de Obras</w:t>
                  </w:r>
                  <w:r w:rsidRPr="0021364E">
                    <w:rPr>
                      <w:b/>
                      <w:spacing w:val="-2"/>
                      <w:sz w:val="20"/>
                      <w:szCs w:val="20"/>
                    </w:rPr>
                    <w:t xml:space="preserve"> </w:t>
                  </w:r>
                  <w:r w:rsidRPr="0021364E">
                    <w:rPr>
                      <w:b/>
                      <w:sz w:val="20"/>
                      <w:szCs w:val="20"/>
                    </w:rPr>
                    <w:t>Públicas</w:t>
                  </w:r>
                  <w:r w:rsidRPr="0021364E">
                    <w:rPr>
                      <w:b/>
                      <w:spacing w:val="-6"/>
                      <w:sz w:val="20"/>
                      <w:szCs w:val="20"/>
                    </w:rPr>
                    <w:t xml:space="preserve"> </w:t>
                  </w:r>
                  <w:r w:rsidRPr="0021364E">
                    <w:rPr>
                      <w:b/>
                      <w:sz w:val="20"/>
                      <w:szCs w:val="20"/>
                    </w:rPr>
                    <w:t>do</w:t>
                  </w:r>
                  <w:r w:rsidRPr="0021364E">
                    <w:rPr>
                      <w:b/>
                      <w:spacing w:val="-4"/>
                      <w:sz w:val="20"/>
                      <w:szCs w:val="20"/>
                    </w:rPr>
                    <w:t xml:space="preserve"> </w:t>
                  </w:r>
                  <w:r w:rsidRPr="0021364E">
                    <w:rPr>
                      <w:b/>
                      <w:sz w:val="20"/>
                      <w:szCs w:val="20"/>
                    </w:rPr>
                    <w:t>Estado</w:t>
                  </w:r>
                  <w:r w:rsidRPr="0021364E">
                    <w:rPr>
                      <w:b/>
                      <w:spacing w:val="-5"/>
                      <w:sz w:val="20"/>
                      <w:szCs w:val="20"/>
                    </w:rPr>
                    <w:t xml:space="preserve"> </w:t>
                  </w:r>
                  <w:r w:rsidRPr="0021364E">
                    <w:rPr>
                      <w:b/>
                      <w:sz w:val="20"/>
                      <w:szCs w:val="20"/>
                    </w:rPr>
                    <w:t>do</w:t>
                  </w:r>
                  <w:r w:rsidRPr="0021364E">
                    <w:rPr>
                      <w:b/>
                      <w:spacing w:val="-8"/>
                      <w:sz w:val="20"/>
                      <w:szCs w:val="20"/>
                    </w:rPr>
                    <w:t xml:space="preserve"> </w:t>
                  </w:r>
                  <w:r w:rsidRPr="0021364E">
                    <w:rPr>
                      <w:b/>
                      <w:sz w:val="20"/>
                      <w:szCs w:val="20"/>
                    </w:rPr>
                    <w:t>Rio</w:t>
                  </w:r>
                  <w:r w:rsidRPr="0021364E">
                    <w:rPr>
                      <w:b/>
                      <w:spacing w:val="4"/>
                      <w:sz w:val="20"/>
                      <w:szCs w:val="20"/>
                    </w:rPr>
                    <w:t xml:space="preserve"> </w:t>
                  </w:r>
                  <w:r w:rsidRPr="0021364E">
                    <w:rPr>
                      <w:b/>
                      <w:sz w:val="20"/>
                      <w:szCs w:val="20"/>
                    </w:rPr>
                    <w:t>de</w:t>
                  </w:r>
                  <w:r w:rsidRPr="0021364E">
                    <w:rPr>
                      <w:b/>
                      <w:spacing w:val="-2"/>
                      <w:sz w:val="20"/>
                      <w:szCs w:val="20"/>
                    </w:rPr>
                    <w:t xml:space="preserve"> </w:t>
                  </w:r>
                  <w:r w:rsidRPr="0021364E">
                    <w:rPr>
                      <w:b/>
                      <w:sz w:val="20"/>
                      <w:szCs w:val="20"/>
                    </w:rPr>
                    <w:t>Janeiro</w:t>
                  </w:r>
                </w:p>
                <w:p w14:paraId="44DE6C48" w14:textId="615A6F41" w:rsidR="005A0062" w:rsidRDefault="005A0062">
                  <w:pPr>
                    <w:spacing w:before="32"/>
                    <w:ind w:left="2352" w:right="2350"/>
                    <w:jc w:val="center"/>
                    <w:rPr>
                      <w:b/>
                      <w:sz w:val="24"/>
                    </w:rPr>
                  </w:pPr>
                </w:p>
              </w:txbxContent>
            </v:textbox>
            <w10:wrap type="topAndBottom" anchorx="page"/>
          </v:shape>
        </w:pict>
      </w:r>
    </w:p>
    <w:p w14:paraId="656B02A7" w14:textId="77777777" w:rsidR="0021364E" w:rsidRDefault="0021364E" w:rsidP="0021364E">
      <w:pPr>
        <w:ind w:left="2346" w:right="2350"/>
        <w:jc w:val="center"/>
        <w:rPr>
          <w:b/>
          <w:sz w:val="24"/>
        </w:rPr>
      </w:pPr>
      <w:r>
        <w:rPr>
          <w:b/>
          <w:sz w:val="24"/>
        </w:rPr>
        <w:t>ANEXO</w:t>
      </w:r>
      <w:r>
        <w:rPr>
          <w:b/>
          <w:spacing w:val="-9"/>
          <w:sz w:val="24"/>
        </w:rPr>
        <w:t xml:space="preserve"> </w:t>
      </w:r>
      <w:r>
        <w:rPr>
          <w:b/>
          <w:sz w:val="24"/>
        </w:rPr>
        <w:t>“I”</w:t>
      </w:r>
    </w:p>
    <w:p w14:paraId="5551AC0A" w14:textId="77777777" w:rsidR="0021364E" w:rsidRDefault="0021364E" w:rsidP="0021364E">
      <w:pPr>
        <w:spacing w:before="32"/>
        <w:ind w:left="2352" w:right="2350"/>
        <w:jc w:val="center"/>
        <w:rPr>
          <w:b/>
          <w:sz w:val="24"/>
        </w:rPr>
      </w:pPr>
      <w:r>
        <w:rPr>
          <w:b/>
          <w:spacing w:val="-1"/>
          <w:sz w:val="24"/>
        </w:rPr>
        <w:t>PARCELAS</w:t>
      </w:r>
      <w:r>
        <w:rPr>
          <w:b/>
          <w:spacing w:val="-8"/>
          <w:sz w:val="24"/>
        </w:rPr>
        <w:t xml:space="preserve"> </w:t>
      </w:r>
      <w:r>
        <w:rPr>
          <w:b/>
          <w:spacing w:val="-1"/>
          <w:sz w:val="24"/>
        </w:rPr>
        <w:t>DE</w:t>
      </w:r>
      <w:r>
        <w:rPr>
          <w:b/>
          <w:spacing w:val="-6"/>
          <w:sz w:val="24"/>
        </w:rPr>
        <w:t xml:space="preserve"> </w:t>
      </w:r>
      <w:r>
        <w:rPr>
          <w:b/>
          <w:spacing w:val="-1"/>
          <w:sz w:val="24"/>
        </w:rPr>
        <w:t>MAIOR</w:t>
      </w:r>
      <w:r>
        <w:rPr>
          <w:b/>
          <w:spacing w:val="-5"/>
          <w:sz w:val="24"/>
        </w:rPr>
        <w:t xml:space="preserve"> </w:t>
      </w:r>
      <w:r>
        <w:rPr>
          <w:b/>
          <w:sz w:val="24"/>
        </w:rPr>
        <w:t>RELEVÂNCIA</w:t>
      </w:r>
      <w:r>
        <w:rPr>
          <w:b/>
          <w:spacing w:val="-21"/>
          <w:sz w:val="24"/>
        </w:rPr>
        <w:t xml:space="preserve"> </w:t>
      </w:r>
      <w:r>
        <w:rPr>
          <w:b/>
          <w:sz w:val="24"/>
        </w:rPr>
        <w:t>TÉCNICA</w:t>
      </w:r>
    </w:p>
    <w:p w14:paraId="32AC3B05" w14:textId="77777777" w:rsidR="004F411E" w:rsidRPr="004F411E" w:rsidRDefault="004F411E" w:rsidP="004F411E"/>
    <w:p w14:paraId="22B9B283" w14:textId="3BCC7218" w:rsidR="004F411E" w:rsidRDefault="004F411E" w:rsidP="004F411E">
      <w:pPr>
        <w:jc w:val="both"/>
      </w:pPr>
    </w:p>
    <w:p w14:paraId="76F565D3" w14:textId="3F5040DF" w:rsidR="0021364E" w:rsidRDefault="0021364E" w:rsidP="0021364E"/>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8"/>
      </w:tblGrid>
      <w:tr w:rsidR="0021364E" w14:paraId="7C3420CC" w14:textId="77777777" w:rsidTr="0037353D">
        <w:trPr>
          <w:trHeight w:val="2700"/>
        </w:trPr>
        <w:tc>
          <w:tcPr>
            <w:tcW w:w="10348" w:type="dxa"/>
          </w:tcPr>
          <w:p w14:paraId="0FCB1153" w14:textId="32C89A42" w:rsidR="001A6CD1" w:rsidRDefault="001A6CD1" w:rsidP="0021364E">
            <w:pPr>
              <w:spacing w:line="276" w:lineRule="auto"/>
              <w:ind w:left="141"/>
              <w:jc w:val="both"/>
            </w:pPr>
            <w:r w:rsidRPr="001A6CD1">
              <w:rPr>
                <w:b/>
                <w:bCs/>
              </w:rPr>
              <w:t>Imóvel:</w:t>
            </w:r>
            <w:r>
              <w:t xml:space="preserve"> </w:t>
            </w:r>
            <w:r w:rsidR="001326E0">
              <w:rPr>
                <w:color w:val="000000"/>
              </w:rPr>
              <w:t>Comando de Operações Especiais - COE</w:t>
            </w:r>
          </w:p>
          <w:p w14:paraId="2F2585C8" w14:textId="4EB7050A" w:rsidR="001A6CD1" w:rsidRDefault="001A6CD1" w:rsidP="0021364E">
            <w:pPr>
              <w:spacing w:line="276" w:lineRule="auto"/>
              <w:ind w:left="141"/>
              <w:jc w:val="both"/>
            </w:pPr>
            <w:r w:rsidRPr="001A6CD1">
              <w:rPr>
                <w:b/>
                <w:bCs/>
              </w:rPr>
              <w:t>Endereço:</w:t>
            </w:r>
            <w:r>
              <w:t xml:space="preserve"> </w:t>
            </w:r>
            <w:r w:rsidR="001326E0">
              <w:rPr>
                <w:color w:val="000000"/>
              </w:rPr>
              <w:t xml:space="preserve">Av. Almirante Frontin, Nº 628 </w:t>
            </w:r>
            <w:r w:rsidR="00143B28">
              <w:rPr>
                <w:color w:val="000000"/>
              </w:rPr>
              <w:t>–</w:t>
            </w:r>
            <w:r w:rsidR="001326E0">
              <w:rPr>
                <w:color w:val="000000"/>
              </w:rPr>
              <w:t xml:space="preserve"> Ramos</w:t>
            </w:r>
          </w:p>
          <w:p w14:paraId="4FD5B83B" w14:textId="4D3534C0" w:rsidR="0021364E" w:rsidRDefault="001A6CD1" w:rsidP="0021364E">
            <w:pPr>
              <w:spacing w:line="276" w:lineRule="auto"/>
              <w:ind w:left="141"/>
              <w:jc w:val="both"/>
              <w:rPr>
                <w:color w:val="000000"/>
                <w:sz w:val="20"/>
                <w:szCs w:val="20"/>
              </w:rPr>
            </w:pPr>
            <w:r w:rsidRPr="001A6CD1">
              <w:rPr>
                <w:b/>
                <w:bCs/>
              </w:rPr>
              <w:t>Município:</w:t>
            </w:r>
            <w:r>
              <w:t xml:space="preserve"> </w:t>
            </w:r>
            <w:r w:rsidR="00893052">
              <w:t>Rio de Janeiro</w:t>
            </w:r>
          </w:p>
          <w:p w14:paraId="55098573" w14:textId="77777777" w:rsidR="0021364E" w:rsidRPr="0021364E" w:rsidRDefault="0021364E" w:rsidP="0021364E">
            <w:pPr>
              <w:spacing w:line="276" w:lineRule="auto"/>
              <w:ind w:left="141"/>
              <w:jc w:val="both"/>
              <w:rPr>
                <w:b/>
                <w:bCs/>
                <w:sz w:val="20"/>
                <w:szCs w:val="20"/>
              </w:rPr>
            </w:pPr>
          </w:p>
          <w:p w14:paraId="16A3DF82" w14:textId="1C27AC1D" w:rsidR="00893052" w:rsidRDefault="0021364E" w:rsidP="00893052">
            <w:pPr>
              <w:ind w:left="28" w:right="101"/>
              <w:jc w:val="both"/>
              <w:rPr>
                <w:b/>
                <w:bCs/>
                <w:color w:val="000000"/>
              </w:rPr>
            </w:pPr>
            <w:r w:rsidRPr="0021364E">
              <w:rPr>
                <w:b/>
                <w:bCs/>
                <w:sz w:val="20"/>
                <w:szCs w:val="20"/>
                <w:lang w:val="pt-BR"/>
              </w:rPr>
              <w:t xml:space="preserve">Objeto: </w:t>
            </w:r>
            <w:bookmarkStart w:id="0" w:name="_Hlk143264869"/>
            <w:r w:rsidR="005754BD" w:rsidRPr="005754BD">
              <w:rPr>
                <w:b/>
                <w:bCs/>
                <w:color w:val="000000"/>
                <w:sz w:val="24"/>
                <w:szCs w:val="24"/>
              </w:rPr>
              <w:t>CONTRATAÇÃO DE EMPRESA ESPECIALIZADA NO RAMO DE ENGENHARIA, PARA A CONSTRUÇÃO DO GINÁSIO ESPORTIVO COM ARQUIBANCADA E DOIS VESTIÁRIOS COM BANHEIROS, NO COMPLEXO DO COE - COMANDO DE OPERAÇÕES ESPECIAIS.</w:t>
            </w:r>
          </w:p>
          <w:bookmarkEnd w:id="0"/>
          <w:p w14:paraId="3720B107" w14:textId="27C22D35" w:rsidR="0021364E" w:rsidRDefault="0021364E" w:rsidP="0021364E">
            <w:pPr>
              <w:spacing w:line="276" w:lineRule="auto"/>
              <w:ind w:left="141"/>
              <w:jc w:val="both"/>
              <w:rPr>
                <w:b/>
                <w:bCs/>
                <w:sz w:val="20"/>
                <w:szCs w:val="20"/>
                <w:lang w:val="pt-BR"/>
              </w:rPr>
            </w:pPr>
          </w:p>
        </w:tc>
      </w:tr>
    </w:tbl>
    <w:p w14:paraId="3CEE8A5F" w14:textId="77777777" w:rsidR="00143B28" w:rsidRDefault="00143B28" w:rsidP="00143B28">
      <w:pPr>
        <w:adjustRightInd w:val="0"/>
        <w:rPr>
          <w:b/>
          <w:bCs/>
          <w:sz w:val="24"/>
          <w:szCs w:val="24"/>
        </w:rPr>
      </w:pPr>
    </w:p>
    <w:p w14:paraId="1F01DD9C" w14:textId="77777777" w:rsidR="00B819B2" w:rsidRPr="00700827" w:rsidRDefault="00B819B2" w:rsidP="00700827">
      <w:pPr>
        <w:adjustRightInd w:val="0"/>
        <w:jc w:val="both"/>
        <w:rPr>
          <w:b/>
          <w:bCs/>
          <w:sz w:val="24"/>
          <w:szCs w:val="24"/>
        </w:rPr>
      </w:pPr>
      <w:r w:rsidRPr="00700827">
        <w:rPr>
          <w:b/>
          <w:bCs/>
          <w:sz w:val="24"/>
          <w:szCs w:val="24"/>
        </w:rPr>
        <w:t>QUALIFICAÇÃO TÉCNICA OPERACIONAL</w:t>
      </w:r>
    </w:p>
    <w:p w14:paraId="259F6AA3" w14:textId="77777777" w:rsidR="00B819B2" w:rsidRPr="00700827" w:rsidRDefault="00B819B2" w:rsidP="00700827">
      <w:pPr>
        <w:adjustRightInd w:val="0"/>
        <w:jc w:val="both"/>
        <w:rPr>
          <w:b/>
          <w:bCs/>
          <w:sz w:val="24"/>
          <w:szCs w:val="24"/>
        </w:rPr>
      </w:pPr>
    </w:p>
    <w:p w14:paraId="6FCAB532" w14:textId="77777777" w:rsidR="00B819B2" w:rsidRPr="00700827" w:rsidRDefault="00B819B2" w:rsidP="00700827">
      <w:pPr>
        <w:adjustRightInd w:val="0"/>
        <w:jc w:val="both"/>
        <w:rPr>
          <w:sz w:val="24"/>
          <w:szCs w:val="24"/>
        </w:rPr>
      </w:pPr>
      <w:r w:rsidRPr="00700827">
        <w:rPr>
          <w:sz w:val="24"/>
          <w:szCs w:val="24"/>
        </w:rPr>
        <w:t>Prova de Registro ou inscrição da empresa licitante e de seus responsáveis técnicos junto ao Conselho Regional de Engenharia e Agronomia (CREA) e ou/ Conselho de Arquitetura e Urbanismo (CAU), da localidade de sua sede, comprovando que a mesma é habilitada no CREA e/ou CAU a atuar nos ramos de atividade de arquitetura e ou/ engenharia civil e segurança do trabalho conforme resoluções do CREA/CONFEA 218/73, 278/83 e 359/91.</w:t>
      </w:r>
    </w:p>
    <w:p w14:paraId="4E963207" w14:textId="77777777" w:rsidR="00B819B2" w:rsidRPr="00700827" w:rsidRDefault="00B819B2" w:rsidP="00700827">
      <w:pPr>
        <w:adjustRightInd w:val="0"/>
        <w:jc w:val="both"/>
        <w:rPr>
          <w:sz w:val="24"/>
          <w:szCs w:val="24"/>
        </w:rPr>
      </w:pPr>
    </w:p>
    <w:p w14:paraId="730A21EA" w14:textId="77777777" w:rsidR="00B819B2" w:rsidRPr="00700827" w:rsidRDefault="00B819B2" w:rsidP="00700827">
      <w:pPr>
        <w:adjustRightInd w:val="0"/>
        <w:jc w:val="both"/>
        <w:rPr>
          <w:sz w:val="24"/>
          <w:szCs w:val="24"/>
        </w:rPr>
      </w:pPr>
      <w:r w:rsidRPr="00700827">
        <w:rPr>
          <w:sz w:val="24"/>
          <w:szCs w:val="24"/>
        </w:rPr>
        <w:t>Dentre os diversos itens necessários para execução do objeto, destaca-se o item com maior percentual, sendo de parcela de maior relevância técnica, para os quais a empresa licitante deverá apresentar eu seu nome através de declaração ou atestado técnico ter executado  para órgão ou entidade da Administração Pública Direta ou Indireta, Federal, Estadual, Municipal, ou ainda, para empresa privada a(s) seguinte(s) atividade(s), de características semelhantes, conforme inciso II do art. 58 da Lei nº 13.303/2016:</w:t>
      </w:r>
    </w:p>
    <w:p w14:paraId="66C3F302" w14:textId="77777777" w:rsidR="00B819B2" w:rsidRPr="00700827" w:rsidRDefault="00B819B2" w:rsidP="00700827">
      <w:pPr>
        <w:adjustRightInd w:val="0"/>
        <w:jc w:val="both"/>
        <w:rPr>
          <w:sz w:val="24"/>
          <w:szCs w:val="24"/>
        </w:rPr>
      </w:pPr>
    </w:p>
    <w:tbl>
      <w:tblPr>
        <w:tblStyle w:val="Tabelacomgrade"/>
        <w:tblW w:w="10632" w:type="dxa"/>
        <w:tblInd w:w="-318" w:type="dxa"/>
        <w:tblLook w:val="04A0" w:firstRow="1" w:lastRow="0" w:firstColumn="1" w:lastColumn="0" w:noHBand="0" w:noVBand="1"/>
      </w:tblPr>
      <w:tblGrid>
        <w:gridCol w:w="10632"/>
      </w:tblGrid>
      <w:tr w:rsidR="00B819B2" w:rsidRPr="00700827" w14:paraId="0EB36CF7" w14:textId="77777777" w:rsidTr="00813B6A">
        <w:tc>
          <w:tcPr>
            <w:tcW w:w="10632" w:type="dxa"/>
          </w:tcPr>
          <w:p w14:paraId="064E8E3D" w14:textId="398C89A9" w:rsidR="00B819B2" w:rsidRPr="00700827" w:rsidRDefault="00B819B2" w:rsidP="00700827">
            <w:pPr>
              <w:autoSpaceDE w:val="0"/>
              <w:autoSpaceDN w:val="0"/>
              <w:adjustRightInd w:val="0"/>
              <w:jc w:val="both"/>
              <w:rPr>
                <w:sz w:val="24"/>
                <w:szCs w:val="24"/>
              </w:rPr>
            </w:pPr>
            <w:r w:rsidRPr="00700827">
              <w:rPr>
                <w:sz w:val="24"/>
                <w:szCs w:val="24"/>
              </w:rPr>
              <w:t xml:space="preserve">Execução com Concreto dosado racionalmente para uma resistência característica a compressão 30 mpa </w:t>
            </w:r>
          </w:p>
        </w:tc>
      </w:tr>
      <w:tr w:rsidR="00B819B2" w:rsidRPr="00700827" w14:paraId="73CA3FD6" w14:textId="77777777" w:rsidTr="00813B6A">
        <w:tc>
          <w:tcPr>
            <w:tcW w:w="10632" w:type="dxa"/>
          </w:tcPr>
          <w:p w14:paraId="1467F90E" w14:textId="77777777" w:rsidR="00B819B2" w:rsidRPr="00700827" w:rsidRDefault="00B819B2" w:rsidP="00700827">
            <w:pPr>
              <w:jc w:val="both"/>
              <w:rPr>
                <w:sz w:val="24"/>
                <w:szCs w:val="24"/>
              </w:rPr>
            </w:pPr>
            <w:r w:rsidRPr="00700827">
              <w:rPr>
                <w:sz w:val="24"/>
                <w:szCs w:val="24"/>
              </w:rPr>
              <w:t>Execução com concreto bombeado, fck 25mpa, compreendendo o fornecimento de concreto importado de usina</w:t>
            </w:r>
          </w:p>
        </w:tc>
      </w:tr>
      <w:tr w:rsidR="00B819B2" w:rsidRPr="00700827" w14:paraId="6425D386" w14:textId="77777777" w:rsidTr="00813B6A">
        <w:tc>
          <w:tcPr>
            <w:tcW w:w="10632" w:type="dxa"/>
          </w:tcPr>
          <w:p w14:paraId="30FFE5F6" w14:textId="77777777" w:rsidR="00B819B2" w:rsidRPr="00700827" w:rsidRDefault="00B819B2" w:rsidP="00700827">
            <w:pPr>
              <w:autoSpaceDE w:val="0"/>
              <w:autoSpaceDN w:val="0"/>
              <w:adjustRightInd w:val="0"/>
              <w:jc w:val="both"/>
              <w:rPr>
                <w:sz w:val="24"/>
                <w:szCs w:val="24"/>
              </w:rPr>
            </w:pPr>
            <w:r w:rsidRPr="00700827">
              <w:rPr>
                <w:sz w:val="24"/>
                <w:szCs w:val="24"/>
              </w:rPr>
              <w:t>Execução em Esquadrias de madeira, serralheria, ferragens e vidraçaria</w:t>
            </w:r>
          </w:p>
        </w:tc>
      </w:tr>
      <w:tr w:rsidR="00B819B2" w:rsidRPr="00700827" w14:paraId="58A7D5AA" w14:textId="77777777" w:rsidTr="00813B6A">
        <w:tc>
          <w:tcPr>
            <w:tcW w:w="10632" w:type="dxa"/>
          </w:tcPr>
          <w:p w14:paraId="1A30AE9F" w14:textId="77777777" w:rsidR="00B819B2" w:rsidRPr="00700827" w:rsidRDefault="00B819B2" w:rsidP="00700827">
            <w:pPr>
              <w:autoSpaceDE w:val="0"/>
              <w:autoSpaceDN w:val="0"/>
              <w:adjustRightInd w:val="0"/>
              <w:jc w:val="both"/>
              <w:rPr>
                <w:sz w:val="24"/>
                <w:szCs w:val="24"/>
              </w:rPr>
            </w:pPr>
            <w:r w:rsidRPr="00700827">
              <w:rPr>
                <w:sz w:val="24"/>
                <w:szCs w:val="24"/>
              </w:rPr>
              <w:t xml:space="preserve">Instalação de estrutura metálica, com aço astm a-572, para estrutura de edificações, pilares, vigas principais com área de construção mínima de 483,00 m²                                </w:t>
            </w:r>
          </w:p>
        </w:tc>
      </w:tr>
      <w:tr w:rsidR="00B819B2" w:rsidRPr="00700827" w14:paraId="176C0321" w14:textId="77777777" w:rsidTr="00813B6A">
        <w:tc>
          <w:tcPr>
            <w:tcW w:w="10632" w:type="dxa"/>
          </w:tcPr>
          <w:p w14:paraId="39BCB4AC" w14:textId="77777777" w:rsidR="00B819B2" w:rsidRPr="00700827" w:rsidRDefault="00B819B2" w:rsidP="00700827">
            <w:pPr>
              <w:autoSpaceDE w:val="0"/>
              <w:autoSpaceDN w:val="0"/>
              <w:adjustRightInd w:val="0"/>
              <w:jc w:val="both"/>
              <w:rPr>
                <w:sz w:val="24"/>
                <w:szCs w:val="24"/>
              </w:rPr>
            </w:pPr>
            <w:r w:rsidRPr="00700827">
              <w:rPr>
                <w:sz w:val="24"/>
                <w:szCs w:val="24"/>
              </w:rPr>
              <w:t>Execução em Caixa de incêndio externa, padrão cberj, de aço, medindo 70x50</w:t>
            </w:r>
          </w:p>
        </w:tc>
      </w:tr>
    </w:tbl>
    <w:p w14:paraId="25C0B7E5" w14:textId="77777777" w:rsidR="00B819B2" w:rsidRPr="00700827" w:rsidRDefault="00B819B2" w:rsidP="00700827">
      <w:pPr>
        <w:adjustRightInd w:val="0"/>
        <w:jc w:val="both"/>
      </w:pPr>
    </w:p>
    <w:p w14:paraId="6D5B9ACA" w14:textId="77777777" w:rsidR="00B819B2" w:rsidRPr="00700827" w:rsidRDefault="00B819B2" w:rsidP="00700827">
      <w:pPr>
        <w:adjustRightInd w:val="0"/>
        <w:jc w:val="both"/>
        <w:rPr>
          <w:sz w:val="24"/>
          <w:szCs w:val="24"/>
        </w:rPr>
      </w:pPr>
    </w:p>
    <w:p w14:paraId="6E4E25F9" w14:textId="77777777" w:rsidR="00B819B2" w:rsidRPr="00700827" w:rsidRDefault="00B819B2" w:rsidP="00700827">
      <w:pPr>
        <w:adjustRightInd w:val="0"/>
        <w:jc w:val="both"/>
        <w:rPr>
          <w:b/>
          <w:bCs/>
          <w:sz w:val="24"/>
          <w:szCs w:val="24"/>
        </w:rPr>
      </w:pPr>
      <w:r w:rsidRPr="00700827">
        <w:rPr>
          <w:b/>
          <w:bCs/>
          <w:sz w:val="24"/>
          <w:szCs w:val="24"/>
        </w:rPr>
        <w:t>QUALIFICAÇÃO TÉCNICA PROFISSIONAL</w:t>
      </w:r>
    </w:p>
    <w:p w14:paraId="4713C58E" w14:textId="77777777" w:rsidR="00B819B2" w:rsidRPr="00700827" w:rsidRDefault="00B819B2" w:rsidP="00700827">
      <w:pPr>
        <w:adjustRightInd w:val="0"/>
        <w:jc w:val="both"/>
        <w:rPr>
          <w:sz w:val="24"/>
          <w:szCs w:val="24"/>
        </w:rPr>
      </w:pPr>
    </w:p>
    <w:p w14:paraId="5C8EBB6A" w14:textId="77777777" w:rsidR="00B819B2" w:rsidRPr="00700827" w:rsidRDefault="00B819B2" w:rsidP="00700827">
      <w:pPr>
        <w:adjustRightInd w:val="0"/>
        <w:jc w:val="both"/>
        <w:rPr>
          <w:sz w:val="24"/>
          <w:szCs w:val="24"/>
        </w:rPr>
      </w:pPr>
      <w:r w:rsidRPr="00700827">
        <w:rPr>
          <w:sz w:val="24"/>
          <w:szCs w:val="24"/>
        </w:rPr>
        <w:t>Atestado(s) de Capacidade Técnico-Profissional, mediante a comprovação da licitante de possuir em seu quadro, na data prevista para apresentação da proposta, profissional(is) de nível superior reconhecido(s) pelo CREA ou CAU, detentor(es) de atestado(s) de responsabilidade técnica, devidamente registrado(s) no CREA ou CAU, acompanhado(s) da(s) respectiva(s) Certidão(ões) de Acervo Técnico – CAT, que comprove(m) ter o(s) profissional(is), executado para órgão ou entidade da Administração Pública Direta ou Indireta, Federal, Estadual, Municipal, ou ainda, para empresa privada, serviços de características técnicas similares às do objeto deste Projeto Básico, nas parcelas de maior relevância técnica e valor significativo a saber:</w:t>
      </w:r>
    </w:p>
    <w:p w14:paraId="6AB8C1C0" w14:textId="77777777" w:rsidR="00B819B2" w:rsidRPr="00700827" w:rsidRDefault="00B819B2" w:rsidP="00700827">
      <w:pPr>
        <w:adjustRightInd w:val="0"/>
        <w:jc w:val="both"/>
        <w:rPr>
          <w:sz w:val="24"/>
          <w:szCs w:val="24"/>
        </w:rPr>
      </w:pPr>
    </w:p>
    <w:p w14:paraId="4CEDC056" w14:textId="77777777" w:rsidR="00B819B2" w:rsidRPr="00700827" w:rsidRDefault="00B819B2" w:rsidP="00700827">
      <w:pPr>
        <w:adjustRightInd w:val="0"/>
        <w:jc w:val="both"/>
        <w:rPr>
          <w:sz w:val="24"/>
          <w:szCs w:val="24"/>
        </w:rPr>
      </w:pPr>
      <w:r w:rsidRPr="00700827">
        <w:rPr>
          <w:sz w:val="24"/>
          <w:szCs w:val="24"/>
        </w:rPr>
        <w:t>- Construção, Reforma ou manutenção corretiva em edificação não comercial com área de construção mínima de 990,00 m²;</w:t>
      </w:r>
    </w:p>
    <w:p w14:paraId="57F8780F" w14:textId="77777777" w:rsidR="00B819B2" w:rsidRPr="00700827" w:rsidRDefault="00B819B2" w:rsidP="00700827">
      <w:pPr>
        <w:adjustRightInd w:val="0"/>
        <w:jc w:val="both"/>
        <w:rPr>
          <w:sz w:val="24"/>
          <w:szCs w:val="24"/>
        </w:rPr>
      </w:pPr>
    </w:p>
    <w:p w14:paraId="7222C8F6" w14:textId="77777777" w:rsidR="00B819B2" w:rsidRPr="00700827" w:rsidRDefault="00B819B2" w:rsidP="00700827">
      <w:pPr>
        <w:adjustRightInd w:val="0"/>
        <w:jc w:val="both"/>
        <w:rPr>
          <w:sz w:val="24"/>
          <w:szCs w:val="24"/>
        </w:rPr>
      </w:pPr>
      <w:r w:rsidRPr="00700827">
        <w:rPr>
          <w:sz w:val="24"/>
          <w:szCs w:val="24"/>
        </w:rPr>
        <w:t>-  Execução em estruturas de concreto, estruturas metálicas, estruturas de madeira, alvenarias divisórias comuns e especiais;</w:t>
      </w:r>
    </w:p>
    <w:p w14:paraId="3B848CB0" w14:textId="77777777" w:rsidR="00B819B2" w:rsidRPr="00700827" w:rsidRDefault="00B819B2" w:rsidP="00700827">
      <w:pPr>
        <w:adjustRightInd w:val="0"/>
        <w:jc w:val="both"/>
        <w:rPr>
          <w:sz w:val="24"/>
          <w:szCs w:val="24"/>
        </w:rPr>
      </w:pPr>
    </w:p>
    <w:p w14:paraId="67161793" w14:textId="77777777" w:rsidR="00B819B2" w:rsidRPr="00700827" w:rsidRDefault="00B819B2" w:rsidP="00700827">
      <w:pPr>
        <w:adjustRightInd w:val="0"/>
        <w:jc w:val="both"/>
        <w:rPr>
          <w:sz w:val="24"/>
          <w:szCs w:val="24"/>
        </w:rPr>
      </w:pPr>
      <w:r w:rsidRPr="00700827">
        <w:rPr>
          <w:sz w:val="24"/>
          <w:szCs w:val="24"/>
        </w:rPr>
        <w:t>- Revestimentos, coberturas, impermeabilizações, pintura, ferragens, esquadrias, coberturas, pavimentação e serralheria;</w:t>
      </w:r>
    </w:p>
    <w:p w14:paraId="559341DC" w14:textId="77777777" w:rsidR="00B819B2" w:rsidRPr="00700827" w:rsidRDefault="00B819B2" w:rsidP="00700827">
      <w:pPr>
        <w:adjustRightInd w:val="0"/>
        <w:jc w:val="both"/>
        <w:rPr>
          <w:sz w:val="24"/>
          <w:szCs w:val="24"/>
        </w:rPr>
      </w:pPr>
    </w:p>
    <w:p w14:paraId="0D527E80" w14:textId="77777777" w:rsidR="00B819B2" w:rsidRPr="00700827" w:rsidRDefault="00B819B2" w:rsidP="00700827">
      <w:pPr>
        <w:adjustRightInd w:val="0"/>
        <w:jc w:val="both"/>
        <w:rPr>
          <w:sz w:val="24"/>
          <w:szCs w:val="24"/>
        </w:rPr>
      </w:pPr>
      <w:r w:rsidRPr="00700827">
        <w:rPr>
          <w:sz w:val="24"/>
          <w:szCs w:val="24"/>
        </w:rPr>
        <w:t>- Execução em instalações elétrica e lógicas;</w:t>
      </w:r>
    </w:p>
    <w:p w14:paraId="30CBA55B" w14:textId="77777777" w:rsidR="00B819B2" w:rsidRPr="00700827" w:rsidRDefault="00B819B2" w:rsidP="00700827">
      <w:pPr>
        <w:adjustRightInd w:val="0"/>
        <w:jc w:val="both"/>
        <w:rPr>
          <w:sz w:val="24"/>
          <w:szCs w:val="24"/>
        </w:rPr>
      </w:pPr>
    </w:p>
    <w:p w14:paraId="0F935806" w14:textId="77777777" w:rsidR="00B819B2" w:rsidRPr="00700827" w:rsidRDefault="00B819B2" w:rsidP="00700827">
      <w:pPr>
        <w:adjustRightInd w:val="0"/>
        <w:jc w:val="both"/>
        <w:rPr>
          <w:sz w:val="24"/>
          <w:szCs w:val="24"/>
        </w:rPr>
      </w:pPr>
      <w:r w:rsidRPr="00700827">
        <w:rPr>
          <w:sz w:val="24"/>
          <w:szCs w:val="24"/>
        </w:rPr>
        <w:t>- Execução em sistemas hidráulicos, sanitários e pluviais;</w:t>
      </w:r>
    </w:p>
    <w:p w14:paraId="22A487FE" w14:textId="77777777" w:rsidR="00B819B2" w:rsidRPr="00700827" w:rsidRDefault="00B819B2" w:rsidP="00700827">
      <w:pPr>
        <w:adjustRightInd w:val="0"/>
        <w:jc w:val="both"/>
        <w:rPr>
          <w:sz w:val="24"/>
          <w:szCs w:val="24"/>
        </w:rPr>
      </w:pPr>
    </w:p>
    <w:p w14:paraId="1D01DC63" w14:textId="77777777" w:rsidR="00B819B2" w:rsidRPr="00700827" w:rsidRDefault="00B819B2" w:rsidP="00700827">
      <w:pPr>
        <w:adjustRightInd w:val="0"/>
        <w:jc w:val="both"/>
        <w:rPr>
          <w:sz w:val="24"/>
          <w:szCs w:val="24"/>
        </w:rPr>
      </w:pPr>
      <w:r w:rsidRPr="00700827">
        <w:rPr>
          <w:sz w:val="24"/>
          <w:szCs w:val="24"/>
        </w:rPr>
        <w:t xml:space="preserve"> - Execução de sistemas de prevenção e combate a incêndio.</w:t>
      </w:r>
    </w:p>
    <w:p w14:paraId="6B7095E2" w14:textId="77777777" w:rsidR="00B819B2" w:rsidRPr="00700827" w:rsidRDefault="00B819B2" w:rsidP="00700827">
      <w:pPr>
        <w:adjustRightInd w:val="0"/>
        <w:jc w:val="both"/>
        <w:rPr>
          <w:sz w:val="24"/>
          <w:szCs w:val="24"/>
        </w:rPr>
      </w:pPr>
    </w:p>
    <w:p w14:paraId="5932E9B9" w14:textId="77777777" w:rsidR="00B819B2" w:rsidRPr="00700827" w:rsidRDefault="00B819B2" w:rsidP="00700827">
      <w:pPr>
        <w:adjustRightInd w:val="0"/>
        <w:jc w:val="both"/>
        <w:rPr>
          <w:sz w:val="24"/>
          <w:szCs w:val="24"/>
        </w:rPr>
      </w:pPr>
    </w:p>
    <w:p w14:paraId="113D4A55" w14:textId="77777777" w:rsidR="00B819B2" w:rsidRPr="00700827" w:rsidRDefault="00B819B2" w:rsidP="00700827">
      <w:pPr>
        <w:adjustRightInd w:val="0"/>
        <w:jc w:val="both"/>
        <w:rPr>
          <w:sz w:val="24"/>
          <w:szCs w:val="24"/>
        </w:rPr>
      </w:pPr>
      <w:r w:rsidRPr="00700827">
        <w:rPr>
          <w:sz w:val="24"/>
          <w:szCs w:val="24"/>
        </w:rPr>
        <w:t>A comprovação do vínculo do profissional permanente deverá ser feita por meio de cópias das Carteiras de Trabalho ou fichas de Registro de Empregado que comprove a condição de que pertence ao quadro da licitante, ou contrato/estatuto social que demonstre a condição de sócio do profissional, ou por meio de contrato de prestação de serviços, sem vínculo trabalhista e regido pela legislação civil comum, ou, ainda, da Declaração de Compromisso de Contratação Futura do profissional, acompanhada da anuência deste.</w:t>
      </w:r>
    </w:p>
    <w:p w14:paraId="77595679" w14:textId="77777777" w:rsidR="00B819B2" w:rsidRPr="00700827" w:rsidRDefault="00B819B2" w:rsidP="00700827">
      <w:pPr>
        <w:adjustRightInd w:val="0"/>
        <w:jc w:val="both"/>
        <w:rPr>
          <w:sz w:val="24"/>
          <w:szCs w:val="24"/>
        </w:rPr>
      </w:pPr>
    </w:p>
    <w:p w14:paraId="3957579E" w14:textId="77777777" w:rsidR="00B819B2" w:rsidRPr="00700827" w:rsidRDefault="00B819B2" w:rsidP="00700827">
      <w:pPr>
        <w:adjustRightInd w:val="0"/>
        <w:jc w:val="both"/>
        <w:rPr>
          <w:sz w:val="24"/>
          <w:szCs w:val="24"/>
        </w:rPr>
      </w:pPr>
      <w:r w:rsidRPr="00700827">
        <w:rPr>
          <w:sz w:val="24"/>
          <w:szCs w:val="24"/>
        </w:rPr>
        <w:t>As quantidades acima constituem-se limites mínimos, correspondentes a 50% (cinquenta por cento) dos quantitativos dos itens de maior relevância técnica ou economicamente relevantes, sendo aceito o somatório de atestados em conformidade com o previsto no Item II do Art. 58 da Lei 13.303/206 e em alinhamento com o Acórdão 1771/2007 do TCU.</w:t>
      </w:r>
    </w:p>
    <w:p w14:paraId="6C308CFD" w14:textId="77777777" w:rsidR="00143B28" w:rsidRPr="00700827" w:rsidRDefault="00143B28" w:rsidP="00143B28">
      <w:pPr>
        <w:adjustRightInd w:val="0"/>
        <w:jc w:val="both"/>
        <w:rPr>
          <w:sz w:val="24"/>
          <w:szCs w:val="24"/>
        </w:rPr>
      </w:pPr>
    </w:p>
    <w:p w14:paraId="1382BAB7" w14:textId="23DEF045" w:rsidR="00143B28" w:rsidRPr="0021364E" w:rsidRDefault="00143B28" w:rsidP="0021364E"/>
    <w:sectPr w:rsidR="00143B28" w:rsidRPr="0021364E" w:rsidSect="004F411E">
      <w:type w:val="continuous"/>
      <w:pgSz w:w="12250" w:h="15850"/>
      <w:pgMar w:top="1080" w:right="626" w:bottom="0" w:left="1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1053A"/>
    <w:multiLevelType w:val="multilevel"/>
    <w:tmpl w:val="803E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6A0043"/>
    <w:multiLevelType w:val="hybridMultilevel"/>
    <w:tmpl w:val="976A3292"/>
    <w:lvl w:ilvl="0" w:tplc="73A632AE">
      <w:start w:val="1"/>
      <w:numFmt w:val="decimal"/>
      <w:lvlText w:val="%1"/>
      <w:lvlJc w:val="left"/>
      <w:pPr>
        <w:ind w:left="141" w:hanging="185"/>
      </w:pPr>
      <w:rPr>
        <w:rFonts w:ascii="Arial MT" w:eastAsia="Arial MT" w:hAnsi="Arial MT" w:cs="Arial MT" w:hint="default"/>
        <w:w w:val="100"/>
        <w:sz w:val="22"/>
        <w:szCs w:val="22"/>
        <w:lang w:val="pt-PT" w:eastAsia="en-US" w:bidi="ar-SA"/>
      </w:rPr>
    </w:lvl>
    <w:lvl w:ilvl="1" w:tplc="A402827E">
      <w:numFmt w:val="bullet"/>
      <w:lvlText w:val="•"/>
      <w:lvlJc w:val="left"/>
      <w:pPr>
        <w:ind w:left="1129" w:hanging="185"/>
      </w:pPr>
      <w:rPr>
        <w:rFonts w:hint="default"/>
        <w:lang w:val="pt-PT" w:eastAsia="en-US" w:bidi="ar-SA"/>
      </w:rPr>
    </w:lvl>
    <w:lvl w:ilvl="2" w:tplc="B686CB24">
      <w:numFmt w:val="bullet"/>
      <w:lvlText w:val="•"/>
      <w:lvlJc w:val="left"/>
      <w:pPr>
        <w:ind w:left="2118" w:hanging="185"/>
      </w:pPr>
      <w:rPr>
        <w:rFonts w:hint="default"/>
        <w:lang w:val="pt-PT" w:eastAsia="en-US" w:bidi="ar-SA"/>
      </w:rPr>
    </w:lvl>
    <w:lvl w:ilvl="3" w:tplc="C5C49C2E">
      <w:numFmt w:val="bullet"/>
      <w:lvlText w:val="•"/>
      <w:lvlJc w:val="left"/>
      <w:pPr>
        <w:ind w:left="3108" w:hanging="185"/>
      </w:pPr>
      <w:rPr>
        <w:rFonts w:hint="default"/>
        <w:lang w:val="pt-PT" w:eastAsia="en-US" w:bidi="ar-SA"/>
      </w:rPr>
    </w:lvl>
    <w:lvl w:ilvl="4" w:tplc="15CED420">
      <w:numFmt w:val="bullet"/>
      <w:lvlText w:val="•"/>
      <w:lvlJc w:val="left"/>
      <w:pPr>
        <w:ind w:left="4097" w:hanging="185"/>
      </w:pPr>
      <w:rPr>
        <w:rFonts w:hint="default"/>
        <w:lang w:val="pt-PT" w:eastAsia="en-US" w:bidi="ar-SA"/>
      </w:rPr>
    </w:lvl>
    <w:lvl w:ilvl="5" w:tplc="4A645D1A">
      <w:numFmt w:val="bullet"/>
      <w:lvlText w:val="•"/>
      <w:lvlJc w:val="left"/>
      <w:pPr>
        <w:ind w:left="5087" w:hanging="185"/>
      </w:pPr>
      <w:rPr>
        <w:rFonts w:hint="default"/>
        <w:lang w:val="pt-PT" w:eastAsia="en-US" w:bidi="ar-SA"/>
      </w:rPr>
    </w:lvl>
    <w:lvl w:ilvl="6" w:tplc="0778E292">
      <w:numFmt w:val="bullet"/>
      <w:lvlText w:val="•"/>
      <w:lvlJc w:val="left"/>
      <w:pPr>
        <w:ind w:left="6076" w:hanging="185"/>
      </w:pPr>
      <w:rPr>
        <w:rFonts w:hint="default"/>
        <w:lang w:val="pt-PT" w:eastAsia="en-US" w:bidi="ar-SA"/>
      </w:rPr>
    </w:lvl>
    <w:lvl w:ilvl="7" w:tplc="A8F2C864">
      <w:numFmt w:val="bullet"/>
      <w:lvlText w:val="•"/>
      <w:lvlJc w:val="left"/>
      <w:pPr>
        <w:ind w:left="7066" w:hanging="185"/>
      </w:pPr>
      <w:rPr>
        <w:rFonts w:hint="default"/>
        <w:lang w:val="pt-PT" w:eastAsia="en-US" w:bidi="ar-SA"/>
      </w:rPr>
    </w:lvl>
    <w:lvl w:ilvl="8" w:tplc="5860F1EC">
      <w:numFmt w:val="bullet"/>
      <w:lvlText w:val="•"/>
      <w:lvlJc w:val="left"/>
      <w:pPr>
        <w:ind w:left="8055" w:hanging="185"/>
      </w:pPr>
      <w:rPr>
        <w:rFonts w:hint="default"/>
        <w:lang w:val="pt-PT" w:eastAsia="en-US" w:bidi="ar-SA"/>
      </w:rPr>
    </w:lvl>
  </w:abstractNum>
  <w:abstractNum w:abstractNumId="2" w15:restartNumberingAfterBreak="0">
    <w:nsid w:val="613F7DA8"/>
    <w:multiLevelType w:val="hybridMultilevel"/>
    <w:tmpl w:val="EC2E5B2A"/>
    <w:lvl w:ilvl="0" w:tplc="04160001">
      <w:start w:val="1"/>
      <w:numFmt w:val="bullet"/>
      <w:lvlText w:val=""/>
      <w:lvlJc w:val="left"/>
      <w:pPr>
        <w:ind w:left="840" w:hanging="360"/>
      </w:pPr>
      <w:rPr>
        <w:rFonts w:ascii="Symbol" w:hAnsi="Symbol" w:hint="default"/>
      </w:rPr>
    </w:lvl>
    <w:lvl w:ilvl="1" w:tplc="04160003" w:tentative="1">
      <w:start w:val="1"/>
      <w:numFmt w:val="bullet"/>
      <w:lvlText w:val="o"/>
      <w:lvlJc w:val="left"/>
      <w:pPr>
        <w:ind w:left="1560" w:hanging="360"/>
      </w:pPr>
      <w:rPr>
        <w:rFonts w:ascii="Courier New" w:hAnsi="Courier New" w:cs="Courier New" w:hint="default"/>
      </w:rPr>
    </w:lvl>
    <w:lvl w:ilvl="2" w:tplc="04160005" w:tentative="1">
      <w:start w:val="1"/>
      <w:numFmt w:val="bullet"/>
      <w:lvlText w:val=""/>
      <w:lvlJc w:val="left"/>
      <w:pPr>
        <w:ind w:left="2280" w:hanging="360"/>
      </w:pPr>
      <w:rPr>
        <w:rFonts w:ascii="Wingdings" w:hAnsi="Wingdings" w:hint="default"/>
      </w:rPr>
    </w:lvl>
    <w:lvl w:ilvl="3" w:tplc="04160001" w:tentative="1">
      <w:start w:val="1"/>
      <w:numFmt w:val="bullet"/>
      <w:lvlText w:val=""/>
      <w:lvlJc w:val="left"/>
      <w:pPr>
        <w:ind w:left="3000" w:hanging="360"/>
      </w:pPr>
      <w:rPr>
        <w:rFonts w:ascii="Symbol" w:hAnsi="Symbol" w:hint="default"/>
      </w:rPr>
    </w:lvl>
    <w:lvl w:ilvl="4" w:tplc="04160003" w:tentative="1">
      <w:start w:val="1"/>
      <w:numFmt w:val="bullet"/>
      <w:lvlText w:val="o"/>
      <w:lvlJc w:val="left"/>
      <w:pPr>
        <w:ind w:left="3720" w:hanging="360"/>
      </w:pPr>
      <w:rPr>
        <w:rFonts w:ascii="Courier New" w:hAnsi="Courier New" w:cs="Courier New" w:hint="default"/>
      </w:rPr>
    </w:lvl>
    <w:lvl w:ilvl="5" w:tplc="04160005" w:tentative="1">
      <w:start w:val="1"/>
      <w:numFmt w:val="bullet"/>
      <w:lvlText w:val=""/>
      <w:lvlJc w:val="left"/>
      <w:pPr>
        <w:ind w:left="4440" w:hanging="360"/>
      </w:pPr>
      <w:rPr>
        <w:rFonts w:ascii="Wingdings" w:hAnsi="Wingdings" w:hint="default"/>
      </w:rPr>
    </w:lvl>
    <w:lvl w:ilvl="6" w:tplc="04160001" w:tentative="1">
      <w:start w:val="1"/>
      <w:numFmt w:val="bullet"/>
      <w:lvlText w:val=""/>
      <w:lvlJc w:val="left"/>
      <w:pPr>
        <w:ind w:left="5160" w:hanging="360"/>
      </w:pPr>
      <w:rPr>
        <w:rFonts w:ascii="Symbol" w:hAnsi="Symbol" w:hint="default"/>
      </w:rPr>
    </w:lvl>
    <w:lvl w:ilvl="7" w:tplc="04160003" w:tentative="1">
      <w:start w:val="1"/>
      <w:numFmt w:val="bullet"/>
      <w:lvlText w:val="o"/>
      <w:lvlJc w:val="left"/>
      <w:pPr>
        <w:ind w:left="5880" w:hanging="360"/>
      </w:pPr>
      <w:rPr>
        <w:rFonts w:ascii="Courier New" w:hAnsi="Courier New" w:cs="Courier New" w:hint="default"/>
      </w:rPr>
    </w:lvl>
    <w:lvl w:ilvl="8" w:tplc="04160005" w:tentative="1">
      <w:start w:val="1"/>
      <w:numFmt w:val="bullet"/>
      <w:lvlText w:val=""/>
      <w:lvlJc w:val="left"/>
      <w:pPr>
        <w:ind w:left="6600" w:hanging="360"/>
      </w:pPr>
      <w:rPr>
        <w:rFonts w:ascii="Wingdings" w:hAnsi="Wingdings" w:hint="default"/>
      </w:rPr>
    </w:lvl>
  </w:abstractNum>
  <w:abstractNum w:abstractNumId="3" w15:restartNumberingAfterBreak="0">
    <w:nsid w:val="6BB309C1"/>
    <w:multiLevelType w:val="hybridMultilevel"/>
    <w:tmpl w:val="D6203312"/>
    <w:lvl w:ilvl="0" w:tplc="4FBEB908">
      <w:start w:val="1"/>
      <w:numFmt w:val="decimal"/>
      <w:lvlText w:val="%1."/>
      <w:lvlJc w:val="left"/>
      <w:pPr>
        <w:ind w:left="480" w:hanging="360"/>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4" w15:restartNumberingAfterBreak="0">
    <w:nsid w:val="7AC05C8D"/>
    <w:multiLevelType w:val="hybridMultilevel"/>
    <w:tmpl w:val="CE645C60"/>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num w:numId="1" w16cid:durableId="379134085">
    <w:abstractNumId w:val="1"/>
  </w:num>
  <w:num w:numId="2" w16cid:durableId="794716786">
    <w:abstractNumId w:val="3"/>
  </w:num>
  <w:num w:numId="3" w16cid:durableId="391009030">
    <w:abstractNumId w:val="4"/>
  </w:num>
  <w:num w:numId="4" w16cid:durableId="1140264641">
    <w:abstractNumId w:val="0"/>
  </w:num>
  <w:num w:numId="5" w16cid:durableId="7944490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5A0062"/>
    <w:rsid w:val="0002742B"/>
    <w:rsid w:val="000A14AF"/>
    <w:rsid w:val="000C7F2B"/>
    <w:rsid w:val="001248CE"/>
    <w:rsid w:val="001254E1"/>
    <w:rsid w:val="001326E0"/>
    <w:rsid w:val="00143B28"/>
    <w:rsid w:val="00144BF9"/>
    <w:rsid w:val="001A6CD1"/>
    <w:rsid w:val="001A793A"/>
    <w:rsid w:val="001F2A52"/>
    <w:rsid w:val="0021364E"/>
    <w:rsid w:val="00297F1D"/>
    <w:rsid w:val="002F4DF9"/>
    <w:rsid w:val="003359C6"/>
    <w:rsid w:val="0037353D"/>
    <w:rsid w:val="00383342"/>
    <w:rsid w:val="0043051B"/>
    <w:rsid w:val="00452767"/>
    <w:rsid w:val="00482210"/>
    <w:rsid w:val="004826A9"/>
    <w:rsid w:val="004A5956"/>
    <w:rsid w:val="004B6AD8"/>
    <w:rsid w:val="004F411E"/>
    <w:rsid w:val="005450F0"/>
    <w:rsid w:val="00566B97"/>
    <w:rsid w:val="005754BD"/>
    <w:rsid w:val="0059516B"/>
    <w:rsid w:val="005A0062"/>
    <w:rsid w:val="005B630A"/>
    <w:rsid w:val="00692B9C"/>
    <w:rsid w:val="006F2037"/>
    <w:rsid w:val="00700827"/>
    <w:rsid w:val="00707F35"/>
    <w:rsid w:val="0071164D"/>
    <w:rsid w:val="00741DE2"/>
    <w:rsid w:val="007C5379"/>
    <w:rsid w:val="00813B6A"/>
    <w:rsid w:val="00864DD4"/>
    <w:rsid w:val="00871E42"/>
    <w:rsid w:val="00893052"/>
    <w:rsid w:val="008C660B"/>
    <w:rsid w:val="008D4D0B"/>
    <w:rsid w:val="008F7C72"/>
    <w:rsid w:val="00921623"/>
    <w:rsid w:val="009607DA"/>
    <w:rsid w:val="00990E4A"/>
    <w:rsid w:val="009F5155"/>
    <w:rsid w:val="00AA15F1"/>
    <w:rsid w:val="00AA43DB"/>
    <w:rsid w:val="00AB051A"/>
    <w:rsid w:val="00B260BE"/>
    <w:rsid w:val="00B314D8"/>
    <w:rsid w:val="00B819B2"/>
    <w:rsid w:val="00BC1C56"/>
    <w:rsid w:val="00BC4061"/>
    <w:rsid w:val="00CB0D5E"/>
    <w:rsid w:val="00CC6E92"/>
    <w:rsid w:val="00CE1A36"/>
    <w:rsid w:val="00D94DAD"/>
    <w:rsid w:val="00DA6F92"/>
    <w:rsid w:val="00DE7934"/>
    <w:rsid w:val="00EA1810"/>
    <w:rsid w:val="00F166C1"/>
    <w:rsid w:val="00FA45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25186047"/>
  <w15:docId w15:val="{D503BBE4-8B9E-42C8-83DE-02CF86D5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b/>
      <w:bCs/>
      <w:sz w:val="20"/>
      <w:szCs w:val="20"/>
    </w:rPr>
  </w:style>
  <w:style w:type="paragraph" w:styleId="Ttulo">
    <w:name w:val="Title"/>
    <w:basedOn w:val="Normal"/>
    <w:uiPriority w:val="1"/>
    <w:qFormat/>
    <w:pPr>
      <w:ind w:left="2346" w:right="2350"/>
      <w:jc w:val="center"/>
    </w:pPr>
    <w:rPr>
      <w:b/>
      <w:bCs/>
      <w:sz w:val="24"/>
      <w:szCs w:val="24"/>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character" w:styleId="Forte">
    <w:name w:val="Strong"/>
    <w:basedOn w:val="Fontepargpadro"/>
    <w:uiPriority w:val="22"/>
    <w:qFormat/>
    <w:rsid w:val="00692B9C"/>
    <w:rPr>
      <w:b/>
      <w:bCs/>
    </w:rPr>
  </w:style>
  <w:style w:type="paragraph" w:styleId="NormalWeb">
    <w:name w:val="Normal (Web)"/>
    <w:basedOn w:val="Normal"/>
    <w:uiPriority w:val="99"/>
    <w:semiHidden/>
    <w:unhideWhenUsed/>
    <w:rsid w:val="00707F35"/>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textojustificado">
    <w:name w:val="texto_justificado"/>
    <w:basedOn w:val="Normal"/>
    <w:rsid w:val="0059516B"/>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tabelatextocentralizado">
    <w:name w:val="tabela_texto_centralizado"/>
    <w:basedOn w:val="Normal"/>
    <w:rsid w:val="00CB0D5E"/>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table" w:styleId="Tabelacomgrade">
    <w:name w:val="Table Grid"/>
    <w:basedOn w:val="Tabelanormal"/>
    <w:uiPriority w:val="59"/>
    <w:rsid w:val="00143B28"/>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5305">
      <w:bodyDiv w:val="1"/>
      <w:marLeft w:val="0"/>
      <w:marRight w:val="0"/>
      <w:marTop w:val="0"/>
      <w:marBottom w:val="0"/>
      <w:divBdr>
        <w:top w:val="none" w:sz="0" w:space="0" w:color="auto"/>
        <w:left w:val="none" w:sz="0" w:space="0" w:color="auto"/>
        <w:bottom w:val="none" w:sz="0" w:space="0" w:color="auto"/>
        <w:right w:val="none" w:sz="0" w:space="0" w:color="auto"/>
      </w:divBdr>
    </w:div>
    <w:div w:id="134611705">
      <w:bodyDiv w:val="1"/>
      <w:marLeft w:val="0"/>
      <w:marRight w:val="0"/>
      <w:marTop w:val="0"/>
      <w:marBottom w:val="0"/>
      <w:divBdr>
        <w:top w:val="none" w:sz="0" w:space="0" w:color="auto"/>
        <w:left w:val="none" w:sz="0" w:space="0" w:color="auto"/>
        <w:bottom w:val="none" w:sz="0" w:space="0" w:color="auto"/>
        <w:right w:val="none" w:sz="0" w:space="0" w:color="auto"/>
      </w:divBdr>
    </w:div>
    <w:div w:id="188570615">
      <w:bodyDiv w:val="1"/>
      <w:marLeft w:val="0"/>
      <w:marRight w:val="0"/>
      <w:marTop w:val="0"/>
      <w:marBottom w:val="0"/>
      <w:divBdr>
        <w:top w:val="none" w:sz="0" w:space="0" w:color="auto"/>
        <w:left w:val="none" w:sz="0" w:space="0" w:color="auto"/>
        <w:bottom w:val="none" w:sz="0" w:space="0" w:color="auto"/>
        <w:right w:val="none" w:sz="0" w:space="0" w:color="auto"/>
      </w:divBdr>
    </w:div>
    <w:div w:id="234171511">
      <w:bodyDiv w:val="1"/>
      <w:marLeft w:val="0"/>
      <w:marRight w:val="0"/>
      <w:marTop w:val="0"/>
      <w:marBottom w:val="0"/>
      <w:divBdr>
        <w:top w:val="none" w:sz="0" w:space="0" w:color="auto"/>
        <w:left w:val="none" w:sz="0" w:space="0" w:color="auto"/>
        <w:bottom w:val="none" w:sz="0" w:space="0" w:color="auto"/>
        <w:right w:val="none" w:sz="0" w:space="0" w:color="auto"/>
      </w:divBdr>
    </w:div>
    <w:div w:id="287393651">
      <w:bodyDiv w:val="1"/>
      <w:marLeft w:val="0"/>
      <w:marRight w:val="0"/>
      <w:marTop w:val="0"/>
      <w:marBottom w:val="0"/>
      <w:divBdr>
        <w:top w:val="none" w:sz="0" w:space="0" w:color="auto"/>
        <w:left w:val="none" w:sz="0" w:space="0" w:color="auto"/>
        <w:bottom w:val="none" w:sz="0" w:space="0" w:color="auto"/>
        <w:right w:val="none" w:sz="0" w:space="0" w:color="auto"/>
      </w:divBdr>
    </w:div>
    <w:div w:id="367683127">
      <w:bodyDiv w:val="1"/>
      <w:marLeft w:val="0"/>
      <w:marRight w:val="0"/>
      <w:marTop w:val="0"/>
      <w:marBottom w:val="0"/>
      <w:divBdr>
        <w:top w:val="none" w:sz="0" w:space="0" w:color="auto"/>
        <w:left w:val="none" w:sz="0" w:space="0" w:color="auto"/>
        <w:bottom w:val="none" w:sz="0" w:space="0" w:color="auto"/>
        <w:right w:val="none" w:sz="0" w:space="0" w:color="auto"/>
      </w:divBdr>
    </w:div>
    <w:div w:id="382682181">
      <w:bodyDiv w:val="1"/>
      <w:marLeft w:val="0"/>
      <w:marRight w:val="0"/>
      <w:marTop w:val="0"/>
      <w:marBottom w:val="0"/>
      <w:divBdr>
        <w:top w:val="none" w:sz="0" w:space="0" w:color="auto"/>
        <w:left w:val="none" w:sz="0" w:space="0" w:color="auto"/>
        <w:bottom w:val="none" w:sz="0" w:space="0" w:color="auto"/>
        <w:right w:val="none" w:sz="0" w:space="0" w:color="auto"/>
      </w:divBdr>
    </w:div>
    <w:div w:id="465665937">
      <w:bodyDiv w:val="1"/>
      <w:marLeft w:val="0"/>
      <w:marRight w:val="0"/>
      <w:marTop w:val="0"/>
      <w:marBottom w:val="0"/>
      <w:divBdr>
        <w:top w:val="none" w:sz="0" w:space="0" w:color="auto"/>
        <w:left w:val="none" w:sz="0" w:space="0" w:color="auto"/>
        <w:bottom w:val="none" w:sz="0" w:space="0" w:color="auto"/>
        <w:right w:val="none" w:sz="0" w:space="0" w:color="auto"/>
      </w:divBdr>
    </w:div>
    <w:div w:id="667640562">
      <w:bodyDiv w:val="1"/>
      <w:marLeft w:val="0"/>
      <w:marRight w:val="0"/>
      <w:marTop w:val="0"/>
      <w:marBottom w:val="0"/>
      <w:divBdr>
        <w:top w:val="none" w:sz="0" w:space="0" w:color="auto"/>
        <w:left w:val="none" w:sz="0" w:space="0" w:color="auto"/>
        <w:bottom w:val="none" w:sz="0" w:space="0" w:color="auto"/>
        <w:right w:val="none" w:sz="0" w:space="0" w:color="auto"/>
      </w:divBdr>
    </w:div>
    <w:div w:id="738211232">
      <w:bodyDiv w:val="1"/>
      <w:marLeft w:val="0"/>
      <w:marRight w:val="0"/>
      <w:marTop w:val="0"/>
      <w:marBottom w:val="0"/>
      <w:divBdr>
        <w:top w:val="none" w:sz="0" w:space="0" w:color="auto"/>
        <w:left w:val="none" w:sz="0" w:space="0" w:color="auto"/>
        <w:bottom w:val="none" w:sz="0" w:space="0" w:color="auto"/>
        <w:right w:val="none" w:sz="0" w:space="0" w:color="auto"/>
      </w:divBdr>
    </w:div>
    <w:div w:id="840125539">
      <w:bodyDiv w:val="1"/>
      <w:marLeft w:val="0"/>
      <w:marRight w:val="0"/>
      <w:marTop w:val="0"/>
      <w:marBottom w:val="0"/>
      <w:divBdr>
        <w:top w:val="none" w:sz="0" w:space="0" w:color="auto"/>
        <w:left w:val="none" w:sz="0" w:space="0" w:color="auto"/>
        <w:bottom w:val="none" w:sz="0" w:space="0" w:color="auto"/>
        <w:right w:val="none" w:sz="0" w:space="0" w:color="auto"/>
      </w:divBdr>
    </w:div>
    <w:div w:id="922370685">
      <w:bodyDiv w:val="1"/>
      <w:marLeft w:val="0"/>
      <w:marRight w:val="0"/>
      <w:marTop w:val="0"/>
      <w:marBottom w:val="0"/>
      <w:divBdr>
        <w:top w:val="none" w:sz="0" w:space="0" w:color="auto"/>
        <w:left w:val="none" w:sz="0" w:space="0" w:color="auto"/>
        <w:bottom w:val="none" w:sz="0" w:space="0" w:color="auto"/>
        <w:right w:val="none" w:sz="0" w:space="0" w:color="auto"/>
      </w:divBdr>
    </w:div>
    <w:div w:id="1010791136">
      <w:bodyDiv w:val="1"/>
      <w:marLeft w:val="0"/>
      <w:marRight w:val="0"/>
      <w:marTop w:val="0"/>
      <w:marBottom w:val="0"/>
      <w:divBdr>
        <w:top w:val="none" w:sz="0" w:space="0" w:color="auto"/>
        <w:left w:val="none" w:sz="0" w:space="0" w:color="auto"/>
        <w:bottom w:val="none" w:sz="0" w:space="0" w:color="auto"/>
        <w:right w:val="none" w:sz="0" w:space="0" w:color="auto"/>
      </w:divBdr>
    </w:div>
    <w:div w:id="1458378912">
      <w:bodyDiv w:val="1"/>
      <w:marLeft w:val="0"/>
      <w:marRight w:val="0"/>
      <w:marTop w:val="0"/>
      <w:marBottom w:val="0"/>
      <w:divBdr>
        <w:top w:val="none" w:sz="0" w:space="0" w:color="auto"/>
        <w:left w:val="none" w:sz="0" w:space="0" w:color="auto"/>
        <w:bottom w:val="none" w:sz="0" w:space="0" w:color="auto"/>
        <w:right w:val="none" w:sz="0" w:space="0" w:color="auto"/>
      </w:divBdr>
    </w:div>
    <w:div w:id="1696998626">
      <w:bodyDiv w:val="1"/>
      <w:marLeft w:val="0"/>
      <w:marRight w:val="0"/>
      <w:marTop w:val="0"/>
      <w:marBottom w:val="0"/>
      <w:divBdr>
        <w:top w:val="none" w:sz="0" w:space="0" w:color="auto"/>
        <w:left w:val="none" w:sz="0" w:space="0" w:color="auto"/>
        <w:bottom w:val="none" w:sz="0" w:space="0" w:color="auto"/>
        <w:right w:val="none" w:sz="0" w:space="0" w:color="auto"/>
      </w:divBdr>
    </w:div>
    <w:div w:id="2084571313">
      <w:bodyDiv w:val="1"/>
      <w:marLeft w:val="0"/>
      <w:marRight w:val="0"/>
      <w:marTop w:val="0"/>
      <w:marBottom w:val="0"/>
      <w:divBdr>
        <w:top w:val="none" w:sz="0" w:space="0" w:color="auto"/>
        <w:left w:val="none" w:sz="0" w:space="0" w:color="auto"/>
        <w:bottom w:val="none" w:sz="0" w:space="0" w:color="auto"/>
        <w:right w:val="none" w:sz="0" w:space="0" w:color="auto"/>
      </w:divBdr>
    </w:div>
    <w:div w:id="2088768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640</Words>
  <Characters>3458</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PARCELAS DE MAIOR RELEVÂNCIA TÉCNICA</vt:lpstr>
    </vt:vector>
  </TitlesOfParts>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PARCELAS DE MAIOR RELEVÂNCIA TÉCNICA</dc:title>
  <dc:creator>EMOP - Empresa de Obras Públicas</dc:creator>
  <cp:lastModifiedBy>Paulo Vitor da Silva Manhães</cp:lastModifiedBy>
  <cp:revision>62</cp:revision>
  <cp:lastPrinted>2022-12-06T19:49:00Z</cp:lastPrinted>
  <dcterms:created xsi:type="dcterms:W3CDTF">2022-05-18T19:48:00Z</dcterms:created>
  <dcterms:modified xsi:type="dcterms:W3CDTF">2023-11-27T19:06:00Z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2021-10-15T00:00:00Z</vt:filetime>
  </property>
  <property fmtid="{D5CDD505-2E9C-101B-9397-08002B2CF9AE}" pid="3" name="Creator">
    <vt:lpwstr>Microsoft® Word 2010</vt:lpwstr>
  </property>
  <property fmtid="{D5CDD505-2E9C-101B-9397-08002B2CF9AE}" pid="4" name="LastSaved">
    <vt:filetime>2021-11-12T00:00:00Z</vt:filetime>
  </property>
</Properties>
</file>